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2F9F9330" w14:textId="60AC46DF" w:rsidR="00A7496E" w:rsidRPr="006E18D8" w:rsidRDefault="00943578" w:rsidP="00DD194C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64182164">
                <wp:simplePos x="0" y="0"/>
                <wp:positionH relativeFrom="column">
                  <wp:posOffset>58420</wp:posOffset>
                </wp:positionH>
                <wp:positionV relativeFrom="paragraph">
                  <wp:posOffset>161290</wp:posOffset>
                </wp:positionV>
                <wp:extent cx="6074410" cy="793750"/>
                <wp:effectExtent l="0" t="0" r="254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793750"/>
                          <a:chOff x="2311653" y="3594580"/>
                          <a:chExt cx="6068695" cy="508588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508588"/>
                            <a:chOff x="0" y="0"/>
                            <a:chExt cx="6068695" cy="508588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508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D5263C" w14:textId="77777777" w:rsidR="00A3564E" w:rsidRPr="00A3564E" w:rsidRDefault="00A3564E" w:rsidP="00A3564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A3564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introductorio a temáticas de intervención policial en el ámbito rural.</w:t>
                                </w:r>
                              </w:p>
                              <w:p w14:paraId="3355BD10" w14:textId="51409FA3" w:rsidR="00A7496E" w:rsidRPr="00A7496E" w:rsidRDefault="006E18D8" w:rsidP="00A7496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E18D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DE7F5F2" w14:textId="66E0A652" w:rsidR="00B36ED5" w:rsidRPr="00B36ED5" w:rsidRDefault="00B36ED5" w:rsidP="00B36ED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6pt;margin-top:12.7pt;width:478.3pt;height:62.5pt;z-index:251658240;mso-wrap-distance-left:0;mso-wrap-distance-right:0;mso-width-relative:margin;mso-height-relative:margin" coordorigin="23116,35945" coordsize="60686,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">
                <v:group id="1 Grupo" o:spid="_x0000_s1027" style="position:absolute;left:23116;top:35945;width:60687;height:5086" coordsize="60686,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5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5AD5263C" w14:textId="77777777" w:rsidR="00A3564E" w:rsidRPr="00A3564E" w:rsidRDefault="00A3564E" w:rsidP="00A3564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A3564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introductorio a temáticas de intervención policial en el ámbito rural.</w:t>
                          </w:r>
                        </w:p>
                        <w:p w14:paraId="3355BD10" w14:textId="51409FA3" w:rsidR="00A7496E" w:rsidRPr="00A7496E" w:rsidRDefault="006E18D8" w:rsidP="00A7496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E18D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DE7F5F2" w14:textId="66E0A652" w:rsidR="00B36ED5" w:rsidRPr="00B36ED5" w:rsidRDefault="00B36ED5" w:rsidP="00B36ED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02FA8AD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</w:t>
      </w:r>
      <w:r w:rsidR="006E18D8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3B17136" w14:textId="36898A01" w:rsidR="00DD194C" w:rsidRDefault="00A3564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A3564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Esta capacitación surge para cubrir la ausencia de oferta académica sobre seguridad rural dirigida al personal policial que, aunque no pertenece a la Superintendencia de Seguridad Rural, cumple funciones en dependencias con jurisdicción en zonas rurales, como puestos de vigilancia, destacamentos y subcomisarías de la provincia de Buenos Aires. El curso busca actualizar y fortalecer sus competencias profesionales en el abordaje de situaciones vinculadas a la normativa rural, incluyendo el control de ganado y cultivos, traslados de agroquímicos, fumigaciones, prevención de caza y pesca furtiva, y tránsito de maquinarias agrícolas, entre otros. Además, promueve el desarrollo de protocolos de actuación claros, espacios de intercambio de saberes y la resolución de conflictos, mediante ejemplos prácticos de baja y media complejidad, con el objetivo de complementar la labor de la Policía de Seguridad Rural y mejorar la eficacia y seguridad en su intervención en el ámbito rural.</w:t>
      </w:r>
    </w:p>
    <w:p w14:paraId="721C33CF" w14:textId="77777777" w:rsidR="00A3564E" w:rsidRDefault="00A3564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E40769C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716A8379" w14:textId="0D87C7C5" w:rsidR="00DD194C" w:rsidRDefault="00A3564E" w:rsidP="00C10DEF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A3564E">
        <w:rPr>
          <w:rFonts w:ascii="Arial" w:eastAsia="Arial" w:hAnsi="Arial" w:cs="Arial"/>
          <w:color w:val="000000"/>
        </w:rPr>
        <w:t>El presente está dirigido al personal de las Policías de la provincia de Buenos Aires, sin distinción de jerarquía, a excepción de aquellos que pertenezcan a la Superintendencia de Seguridad Rural.</w:t>
      </w:r>
    </w:p>
    <w:p w14:paraId="1BB29408" w14:textId="2CE5BED7" w:rsidR="00A3564E" w:rsidRPr="00C10DEF" w:rsidRDefault="00A3564E" w:rsidP="00C10DE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lang w:val="es-AR"/>
        </w:rPr>
      </w:pPr>
      <w:r>
        <w:rPr>
          <w:rFonts w:ascii="Arial" w:eastAsia="Arial" w:hAnsi="Arial" w:cs="Arial"/>
          <w:color w:val="000000"/>
        </w:rPr>
        <w:tab/>
      </w: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3DE80F1B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A3564E">
        <w:rPr>
          <w:rFonts w:ascii="Arial" w:eastAsia="Arial" w:hAnsi="Arial" w:cs="Arial"/>
          <w:bCs/>
        </w:rPr>
        <w:t>16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4DF74E73" w14:textId="32455429" w:rsidR="00A3564E" w:rsidRPr="00A3564E" w:rsidRDefault="00734E43" w:rsidP="00A3564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DD194C" w:rsidRPr="00DD194C">
        <w:rPr>
          <w:rFonts w:ascii="Arial" w:eastAsia="Arial" w:hAnsi="Arial" w:cs="Arial"/>
          <w:bCs/>
        </w:rPr>
        <w:t>1</w:t>
      </w:r>
      <w:r w:rsidR="00A3564E" w:rsidRPr="00A3564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A3564E" w:rsidRPr="00A3564E">
        <w:rPr>
          <w:rFonts w:ascii="Arial" w:eastAsia="Arial" w:hAnsi="Arial" w:cs="Arial"/>
          <w:bCs/>
          <w:lang w:val="es-AR"/>
        </w:rPr>
        <w:t>1ra. Edición: mayo-junio; 2da. Edición: septiembre-octubre.</w:t>
      </w:r>
    </w:p>
    <w:p w14:paraId="1B281ACD" w14:textId="23895DC2" w:rsidR="00DD194C" w:rsidRPr="00241832" w:rsidRDefault="00DD194C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416D4F1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A7496E">
        <w:rPr>
          <w:rFonts w:ascii="Arial" w:eastAsia="Arial" w:hAnsi="Arial" w:cs="Arial"/>
          <w:bCs/>
        </w:rPr>
        <w:t>3</w:t>
      </w:r>
      <w:r w:rsidR="00DD194C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7395FA5C" w14:textId="21F4F9E1" w:rsidR="00A3564E" w:rsidRPr="00A3564E" w:rsidRDefault="000455BF" w:rsidP="00E05DE7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 w:firstLine="0"/>
        <w:rPr>
          <w:rFonts w:ascii="Arial" w:hAnsi="Arial" w:cs="Arial"/>
          <w:color w:val="000000"/>
          <w:lang w:val="es-AR"/>
        </w:rPr>
      </w:pPr>
      <w:r w:rsidRPr="00A3564E">
        <w:rPr>
          <w:rFonts w:ascii="Arial" w:hAnsi="Arial" w:cs="Arial"/>
          <w:color w:val="000000"/>
        </w:rPr>
        <w:t>Correo electrónico</w:t>
      </w:r>
      <w:r w:rsidR="006E18D8" w:rsidRPr="006E18D8">
        <w:t xml:space="preserve"> </w:t>
      </w:r>
      <w:hyperlink r:id="rId6" w:history="1">
        <w:r w:rsidR="00A3564E" w:rsidRPr="002827E0">
          <w:rPr>
            <w:rStyle w:val="Hipervnculo"/>
            <w:rFonts w:ascii="Arial" w:hAnsi="Arial" w:cs="Arial"/>
          </w:rPr>
          <w:t>mariadaniela.ramirez@mseg.gba.gov.ar</w:t>
        </w:r>
      </w:hyperlink>
    </w:p>
    <w:p w14:paraId="5E3F5101" w14:textId="520D2BAF" w:rsidR="00A3564E" w:rsidRPr="00A3564E" w:rsidRDefault="000455BF" w:rsidP="00A3564E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 w:firstLine="0"/>
        <w:rPr>
          <w:rFonts w:ascii="Arial" w:hAnsi="Arial" w:cs="Arial"/>
          <w:color w:val="000000"/>
          <w:lang w:val="es-AR"/>
        </w:rPr>
      </w:pPr>
      <w:r w:rsidRPr="00A3564E">
        <w:rPr>
          <w:rFonts w:ascii="Arial" w:hAnsi="Arial" w:cs="Arial"/>
          <w:color w:val="000000"/>
        </w:rPr>
        <w:t xml:space="preserve">Teléfono </w:t>
      </w:r>
      <w:r w:rsidR="00A3564E" w:rsidRPr="00A3564E">
        <w:rPr>
          <w:rFonts w:ascii="Arial" w:hAnsi="Arial" w:cs="Arial"/>
          <w:color w:val="000000"/>
          <w:lang w:val="es-AR"/>
        </w:rPr>
        <w:t>(2346) 594929.</w:t>
      </w:r>
    </w:p>
    <w:p w14:paraId="648164A9" w14:textId="3E137CDD" w:rsidR="00274056" w:rsidRPr="00A3564E" w:rsidRDefault="00274056" w:rsidP="00A3564E">
      <w:p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A3564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D4306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5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4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36128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6E18D8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3564E"/>
    <w:rsid w:val="00A7496E"/>
    <w:rsid w:val="00AF564D"/>
    <w:rsid w:val="00B061AB"/>
    <w:rsid w:val="00B22EF8"/>
    <w:rsid w:val="00B36ED5"/>
    <w:rsid w:val="00B52B79"/>
    <w:rsid w:val="00B814DF"/>
    <w:rsid w:val="00C10DE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94C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daniela.ramirez@mseg.gba.gov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2026-02-03T19:49:00Z</dcterms:created>
  <dcterms:modified xsi:type="dcterms:W3CDTF">2026-02-03T19:49:00Z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